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8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豫应职院院字</w:t>
      </w:r>
      <w:r>
        <w:rPr>
          <w:rStyle w:val="6"/>
          <w:rFonts w:hint="eastAsia" w:asciiTheme="majorEastAsia" w:hAnsiTheme="majorEastAsia" w:eastAsiaTheme="majorEastAsia" w:cstheme="majorEastAsia"/>
          <w:sz w:val="34"/>
          <w:szCs w:val="34"/>
        </w:rPr>
        <w:t>〔2017〕</w:t>
      </w:r>
      <w:r>
        <w:rPr>
          <w:rStyle w:val="6"/>
          <w:rFonts w:hint="eastAsia" w:asciiTheme="majorEastAsia" w:hAnsiTheme="majorEastAsia" w:eastAsiaTheme="majorEastAsia" w:cstheme="majorEastAsia"/>
          <w:sz w:val="34"/>
          <w:szCs w:val="34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color w:val="000000"/>
          <w:sz w:val="34"/>
          <w:szCs w:val="34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河南应用技术职业学院</w:t>
      </w:r>
    </w:p>
    <w:p>
      <w:pPr>
        <w:widowControl/>
        <w:shd w:val="clear" w:color="auto" w:fill="FFFFFF"/>
        <w:spacing w:line="660" w:lineRule="exact"/>
        <w:jc w:val="center"/>
        <w:outlineLvl w:val="0"/>
        <w:rPr>
          <w:rFonts w:ascii="方正小标宋简体" w:hAnsi="方正小标宋简体" w:eastAsia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表彰第一届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辅导员技能大赛获奖者的决定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spacing w:line="6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校党委的正确领导下，我校深入贯彻落实《中共中央国务院关于进一步加强和改进大学生思想政治教育的意见》和《普通高等学校辅导员队伍建设规定》精神，积极推动《高等学校辅导员职业能力标准（暂行）》实施，本着以赛促训的宗旨,学校于2016年12月举办第一届河南应用技术职业学院辅导员技能大赛。在本次大赛中,我校辅导员展现了昂扬的精神风貌、高尚的道德品质、精湛的职业能力，唱响了立德树人的主旋律，营造了辅导员队伍创先争优的浓厚氛围。经过初赛、决赛，最终由评委组评出一等奖一名，二等奖四名，三等奖七名。为进一步激励广大辅导员不断提升综合素质，经学校研究，决定对聂蕴等十二名获奖辅导员予以表彰（详见附件）。</w:t>
      </w:r>
    </w:p>
    <w:p>
      <w:pPr>
        <w:widowControl/>
        <w:shd w:val="clear" w:color="auto" w:fill="FFFFFF"/>
        <w:spacing w:line="6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辅导员，珍惜荣誉，再接再厉，充分发挥好示范引领作用。其他辅导员也要以获奖选手为榜样，进一步提升职业技能，不断提高自身素质，提升教育、管理和服务水平，为学生的成才和学校的发展做出新的贡献！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附件：河南应用技术职业学院第一届辅导员技能大赛获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奖名单</w:t>
      </w:r>
    </w:p>
    <w:p>
      <w:pPr>
        <w:widowControl/>
        <w:shd w:val="clear" w:color="auto" w:fill="FFFFFF"/>
        <w:spacing w:line="660" w:lineRule="exact"/>
        <w:ind w:firstLine="544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firstLine="544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wordWrap w:val="0"/>
        <w:spacing w:line="660" w:lineRule="exact"/>
        <w:ind w:firstLine="5440" w:firstLineChars="17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660" w:lineRule="exact"/>
        <w:ind w:firstLine="5440" w:firstLineChars="17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right="640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60" w:lineRule="exact"/>
        <w:ind w:right="640"/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1681" w:tblpY="295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</w:tcPr>
          <w:p>
            <w:pPr>
              <w:ind w:firstLine="150" w:firstLineChars="50"/>
              <w:rPr>
                <w:rFonts w:hAnsi="宋体" w:cs="Times New Roman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河南应用技术职业学院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第一届辅导员技能大赛获奖名单</w:t>
      </w:r>
    </w:p>
    <w:p>
      <w:r>
        <w:t xml:space="preserve">          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一等奖： 会计学院            聂蕴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二等奖： 本科部              刘傲宇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商贸学院            刘超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护理学院            张萌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建筑工程学院        李政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三等奖： 商贸学院            李力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建筑工程学院        张二月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化学工程学院        耿丽敏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机电工程学院        常惟诚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信息工程学院        徐婉亚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建筑工程学院        孙雪理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会计学院            朱露露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cs="Times New Roman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- 3 -</w:t>
    </w:r>
    <w:r>
      <w:rPr>
        <w:sz w:val="30"/>
        <w:szCs w:val="30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552CC"/>
    <w:rsid w:val="33512177"/>
    <w:rsid w:val="6DFE16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tbnn_title1"/>
    <w:basedOn w:val="3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2017-03-13T08:33:07Z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